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大连海洋大学教学、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科研仪器设备采购管理办法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暂行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科研仪器设备采购管理，充分激发广大教师和科研人员的创新创造活力，推动学校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科研事业持续健康发展，结合我校实际制定本办法。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科研仪器设备是指使用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采购的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科研活动的仪器设备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等货物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科研仪器设备配套使用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科研用途所必需的配件、耗材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及为实现教学、科研目的购买的服务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科研仪器设备采购分为学校集中采购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各单位分散采购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零星采购三</w:t>
      </w:r>
      <w:r>
        <w:rPr>
          <w:rFonts w:hint="eastAsia" w:ascii="仿宋_GB2312" w:hAnsi="仿宋_GB2312" w:eastAsia="仿宋_GB2312" w:cs="仿宋_GB2312"/>
          <w:sz w:val="32"/>
          <w:szCs w:val="32"/>
        </w:rPr>
        <w:t>种组织方式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集中采购是指使用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购买货物、服务，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采购项目预算金额达到或超过学校集中采购限额标准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委托招标代理机构进行的采购活动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集中采购分为校级集中采购和政府采购。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分散采购是指由学校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有教学、科研职能的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单位开展的使用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经费购买货物、服务，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为2万元（含）至15万元之间的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零星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采购是指由学校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有教学、科研职能的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单位开展的使用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经费购</w:t>
      </w:r>
      <w:r>
        <w:rPr>
          <w:rFonts w:hint="eastAsia" w:ascii="仿宋_GB2312" w:hAnsi="仿宋_GB2312" w:eastAsia="仿宋_GB2312" w:cs="仿宋_GB2312"/>
          <w:sz w:val="32"/>
          <w:szCs w:val="32"/>
        </w:rPr>
        <w:t>买货物、服务，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以下的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教学、</w:t>
      </w:r>
      <w:r>
        <w:rPr>
          <w:rFonts w:hint="eastAsia" w:ascii="黑体" w:hAnsi="黑体" w:eastAsia="黑体" w:cs="黑体"/>
          <w:sz w:val="32"/>
          <w:szCs w:val="32"/>
        </w:rPr>
        <w:t>科研仪器设备采购相关部门职责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各教学科研单位是教学、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科研仪器设备采购的责任主体和实施主体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建立健全内部监督控制制度，根据本办法制定本单位的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科研仪器设备采购实施细则，进一步加强内部控制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分散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采购和零星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分散采购合同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和合同履行工作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负责提供教学、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参与教学、科研仪器设备学校集中采购活动中的一般性审查或重点审查工作，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招标文件中教学、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技术参数、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采购合同文本中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技术条款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学校集中采购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签订及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学校集中采购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验收，并做好项目实施的反馈工作。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使用科研经费采购的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的集中采购项目和分散采购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采购项目进行立项审核工作。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</w:rPr>
        <w:t>责对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使用教学经费采购的教学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的集中采购项目和分散采购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采购项目进行立项审核工作。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学科与发展规划处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使用学科经费购买教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学、科研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的集中采购项目和分散采购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采购项目进行立项审核工作。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计划财务处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负责核实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科研仪器设备采购项目的经费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国有资产采购服务中心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科研仪器设备采购工作的组织和实施，主要职责有：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采购法律法规制定学校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科研仪器设备采购管理规章制度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科研仪器设备采购计划填报；对进口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科研仪器设备报备等事项进行初审和报送；采购信息发布；采购信息统计汇总和分析等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科研仪器设备分散采购工作。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学校集中采购工作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国有资产与实验室管理处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科研仪器设备验收管理和验收反馈工作。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教学、</w:t>
      </w:r>
      <w:r>
        <w:rPr>
          <w:rFonts w:hint="eastAsia" w:ascii="黑体" w:hAnsi="黑体" w:eastAsia="黑体" w:cs="黑体"/>
          <w:sz w:val="32"/>
          <w:szCs w:val="32"/>
        </w:rPr>
        <w:t>科研仪器设备采购管理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集中采购限额标准为：预算金额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单位不得将集中采购限额及以上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项目拆分进行分散采购。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低于2万元的，有关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党政负责人根据本单位的采购管理办法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具体负责采购有关事宜，并对整个采购流程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及财务报销过程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负全责，无需国有资产采购服务中心审批、签字。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预算金额为2万元（含）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至15万元的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小额</w:t>
      </w:r>
      <w:r>
        <w:rPr>
          <w:rFonts w:hint="eastAsia" w:ascii="仿宋_GB2312" w:hAnsi="仿宋_GB2312" w:eastAsia="仿宋_GB2312" w:cs="仿宋_GB2312"/>
          <w:sz w:val="32"/>
          <w:szCs w:val="32"/>
        </w:rPr>
        <w:t>分散采购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1.项目需求单位对所采购设备的必要性和预算设置的合理性，及项目真实性、合法性、合规性等负全责。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2.教师根据自己的教学、科研工作需要向教研室、实验教学中心提出教学、科研仪器设备的采购需求，教研室、实验教学中心负责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制定设备技术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3.教研室、实验教学中心须向本单位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党政联席会提出采购立项申请，项目需求单位应履行“三重一大”管理规定，集体决策。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4.采购项目在本单位党政联席会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审议通过后，须成立采购工作小组具体执行，采购工作小组由3人以上单数校内在编在职的干部、教师组成。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采购工作小组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填写小额分散采购审批备案表，根据经费来源报学科与发展规划处、教务处、科技处、计划财务处、国有资产采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购服务中心等部门审批备案。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采购工作小组应按照“货比三家、集体决策”的原则，充分进行市场及价格调研，采取询价、竞争性谈判等非招标方式组织采购，通过集体决策确定成交供应商；极特殊情况下经国有资产采购服务中心批准可采用单一来源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如需采购的教学、科研仪器设备在辽宁网上商城有货源，原则上需优先在网上商城进行采购。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7.对教学、科研仪器设备小额分散采购强化结果公示、推进信息公开、扩大群众监督，采购结果须在本单位网站和“辽宁阳光校园”平台同步进行公示，并作为报销凭证。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内容包括：采购项目名称、党政联席会议审议通过时间，采购小组成员、经费来源、采购金额、成交供应商，采购日期，详细的采购内容（包括具体的货物品牌、规格型号、技术参数、数量、单价、服务、供货时间要求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采购结果公示后，由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签订采购合同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9.合同履行中，需追加与合同标的相同的采购项目内容，在落实经费且不改变合同其他条款的前提下，可以与原供应商协商签订追加合同，但所签追加合同金额不得超过原合同金额10%。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10.在一个财政年度（自然年）内，一个预算项目下的同一品目或者类别的采购项目累计资金数额达到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集中采购限额标准（15万元（含））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的，应当采用学校集中采购或政府集中采购等方式进行采购。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11.合同执行完毕后，15日内由项目需求单位向国有资产与实验室管理处提请项目验收，按照学校相关管理规定办理资产登记入账及财务结算。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对本单位教学、科研仪器设备的零星采购和小额分散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对小额</w:t>
      </w:r>
      <w:r>
        <w:rPr>
          <w:rFonts w:hint="eastAsia" w:ascii="仿宋_GB2312" w:hAnsi="仿宋_GB2312" w:eastAsia="仿宋_GB2312" w:cs="仿宋_GB2312"/>
          <w:sz w:val="32"/>
          <w:szCs w:val="32"/>
        </w:rPr>
        <w:t>分散采购过程和合同履行进行管理和监督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须组织工作人员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教学、科研仪器设备小额分散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过程资料存档备查。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预算金额为15万元（含）以上的教学、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，属学校集中采购项目，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国有资产采购服务中心按照《大连海洋大学采购管理办法》（大海大校发〔2023〕110 号）规定的程序执行采购。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教学、科研仪器设备的零星采购和小额分散采购，如需采购的货物、服务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政府集中采购目录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，则该采购项目须交国有资产采购服务中心进行集中采购。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学校采购涉及国家安全、国家机密等保密要求的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科研仪器设备，按照相关保密规定执行。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根据国办发〔2021〕32号文和辽教财〔2022〕142号文，对科研急需的设备和耗材采用特事特办、随到随</w:t>
      </w:r>
      <w:r>
        <w:rPr>
          <w:rFonts w:hint="eastAsia" w:ascii="仿宋_GB2312" w:hAnsi="仿宋_GB2312" w:eastAsia="仿宋_GB2312" w:cs="仿宋_GB2312"/>
          <w:sz w:val="32"/>
          <w:szCs w:val="32"/>
        </w:rPr>
        <w:t>办的采购机制，可不进行招标投标程序。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15万元（含）至50万元的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科研急需的设备和耗材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采购项目，经科技处审批通过后，由项目需求单位自行采购。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50万元（含）以上的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科研急需的设备和耗材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采购项目，经科技处审批通过后，由国有资产采购服务中心代表学校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依法向省财政厅申请变更政府采购方式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省财政厅实行限时办结制度，对符合要求的申请项目，原则上自收到变更申请之日起5个工作日内办结。省财政厅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审核通过后，由项目需求单位自行采购。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论文发表及专著（著作）、教材等出版服务的采购项目，由教师或其所在的教学科研单位自行开展采购，无需国有资产采购服务中心审批签字。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科研仪器设备采购活动进行监督检查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在监督检查的过程中有权查阅有关资料，相关单位和人员应当予以配合。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参与学校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科研仪器设备采购活动的工作人员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滥用职权、玩忽职守、徇私舞弊，学校将依法依规追究当事人责任；涉嫌犯罪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日起施行，由国有资产采购服务中心负责解释，若本办法条款与上级法律法规和政策有冲突，以上级规定为准；若本办法所涉及的有关法律法规和政策作出调整的，按调整后的相关规定执行。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附件：教学、科研仪器设备小额分散采购审批备案表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BE18897-DB9B-4B2A-96AA-A2B6269966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EBC621-7BB7-46E9-BF70-B328211FBB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C58A1C-083C-4A98-88A3-FB5208A6EC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TU0MThjZDg3Y2UzNzJjNjU3YjUzYmIxMjA3ZWIifQ=="/>
  </w:docVars>
  <w:rsids>
    <w:rsidRoot w:val="00000000"/>
    <w:rsid w:val="00AA3BEB"/>
    <w:rsid w:val="021E07C7"/>
    <w:rsid w:val="07F57D04"/>
    <w:rsid w:val="0DEF300A"/>
    <w:rsid w:val="211F3AF2"/>
    <w:rsid w:val="23B70701"/>
    <w:rsid w:val="326D4954"/>
    <w:rsid w:val="328D4A56"/>
    <w:rsid w:val="32960439"/>
    <w:rsid w:val="3972723D"/>
    <w:rsid w:val="3B4C6E98"/>
    <w:rsid w:val="3EEA117C"/>
    <w:rsid w:val="3F6902F3"/>
    <w:rsid w:val="3FBD718A"/>
    <w:rsid w:val="476B3169"/>
    <w:rsid w:val="4C407641"/>
    <w:rsid w:val="4D775ABC"/>
    <w:rsid w:val="52034219"/>
    <w:rsid w:val="53334FA1"/>
    <w:rsid w:val="552C1FCC"/>
    <w:rsid w:val="591A5BA4"/>
    <w:rsid w:val="63B03E93"/>
    <w:rsid w:val="66726397"/>
    <w:rsid w:val="66C30AE7"/>
    <w:rsid w:val="66FA0B18"/>
    <w:rsid w:val="687B1973"/>
    <w:rsid w:val="6DD82F9F"/>
    <w:rsid w:val="77553247"/>
    <w:rsid w:val="7A892F7E"/>
    <w:rsid w:val="7CA55E18"/>
    <w:rsid w:val="7F8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4000</Words>
  <Characters>4086</Characters>
  <Lines>0</Lines>
  <Paragraphs>0</Paragraphs>
  <TotalTime>81</TotalTime>
  <ScaleCrop>false</ScaleCrop>
  <LinksUpToDate>false</LinksUpToDate>
  <CharactersWithSpaces>4121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2023-09-22T07:49:00Z</dcterms:created>
  <dc:creator>lenovo</dc:creator>
  <cp:lastModifiedBy>盛达</cp:lastModifiedBy>
  <cp:lastPrinted>2023-09-27T07:56:00Z</cp:lastPrinted>
  <dcterms:modified xsi:type="dcterms:W3CDTF">2023-10-27T00:50:19Z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9A5968A1118B46FB9A3AA2085FABD3CD_12</vt:lpwstr>
  </property>
</Properties>
</file>